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D98C6" w14:textId="263E505C" w:rsidR="00D637EE" w:rsidRDefault="006A3A48">
      <w:pPr>
        <w:pStyle w:val="Title"/>
        <w:rPr>
          <w:sz w:val="24"/>
        </w:rPr>
      </w:pPr>
      <w:r>
        <w:rPr>
          <w:sz w:val="24"/>
        </w:rPr>
        <w:t>HIAWATHA</w:t>
      </w:r>
      <w:r w:rsidR="00632611">
        <w:rPr>
          <w:sz w:val="24"/>
        </w:rPr>
        <w:t xml:space="preserve"> </w:t>
      </w:r>
      <w:r w:rsidR="00D637EE">
        <w:rPr>
          <w:sz w:val="24"/>
        </w:rPr>
        <w:t xml:space="preserve">FIRST NATION </w:t>
      </w:r>
    </w:p>
    <w:p w14:paraId="452A978E" w14:textId="77777777" w:rsidR="00D637EE" w:rsidRDefault="00D637EE">
      <w:pPr>
        <w:pStyle w:val="Title"/>
        <w:rPr>
          <w:sz w:val="24"/>
        </w:rPr>
      </w:pPr>
      <w:r>
        <w:rPr>
          <w:sz w:val="24"/>
        </w:rPr>
        <w:t>INDIVIDUAL AGREEMENT</w:t>
      </w:r>
    </w:p>
    <w:p w14:paraId="0E050233" w14:textId="77777777" w:rsidR="00D637EE" w:rsidRDefault="00D637EE">
      <w:pPr>
        <w:jc w:val="center"/>
        <w:rPr>
          <w:b/>
          <w:sz w:val="24"/>
        </w:rPr>
      </w:pPr>
    </w:p>
    <w:p w14:paraId="7132094F" w14:textId="77777777" w:rsidR="00D637EE" w:rsidRDefault="00C33C99">
      <w:pPr>
        <w:jc w:val="center"/>
        <w:rPr>
          <w:b/>
          <w:sz w:val="24"/>
        </w:rPr>
      </w:pPr>
      <w:r>
        <w:rPr>
          <w:b/>
          <w:sz w:val="24"/>
        </w:rPr>
        <w:t xml:space="preserve">EXECUTIVE </w:t>
      </w:r>
      <w:r w:rsidR="00D637EE">
        <w:rPr>
          <w:b/>
          <w:sz w:val="24"/>
        </w:rPr>
        <w:t>SUMMARY</w:t>
      </w:r>
    </w:p>
    <w:p w14:paraId="279C110A" w14:textId="77777777" w:rsidR="00D637EE" w:rsidRDefault="00D637EE">
      <w:pPr>
        <w:rPr>
          <w:sz w:val="24"/>
        </w:rPr>
      </w:pPr>
    </w:p>
    <w:p w14:paraId="2946717E" w14:textId="6C76091D" w:rsidR="00D637EE" w:rsidRDefault="006A3A48">
      <w:pPr>
        <w:rPr>
          <w:sz w:val="24"/>
        </w:rPr>
      </w:pPr>
      <w:r>
        <w:rPr>
          <w:sz w:val="24"/>
        </w:rPr>
        <w:t>Hiawatha</w:t>
      </w:r>
      <w:r w:rsidR="00C33C99">
        <w:rPr>
          <w:sz w:val="24"/>
        </w:rPr>
        <w:t xml:space="preserve"> First Nation is one of </w:t>
      </w:r>
      <w:r w:rsidR="00D61C44">
        <w:rPr>
          <w:sz w:val="24"/>
        </w:rPr>
        <w:t xml:space="preserve">a number of </w:t>
      </w:r>
      <w:r w:rsidR="00C33C99">
        <w:rPr>
          <w:sz w:val="24"/>
        </w:rPr>
        <w:t xml:space="preserve">First Nations in Canada </w:t>
      </w:r>
      <w:r w:rsidR="00D637EE">
        <w:rPr>
          <w:sz w:val="24"/>
        </w:rPr>
        <w:t xml:space="preserve">who is party to a </w:t>
      </w:r>
      <w:r w:rsidR="00D637EE">
        <w:rPr>
          <w:i/>
          <w:sz w:val="24"/>
        </w:rPr>
        <w:t>Framework Agreement on First Nation Land Management</w:t>
      </w:r>
      <w:r w:rsidR="00F60E61">
        <w:rPr>
          <w:i/>
          <w:sz w:val="24"/>
        </w:rPr>
        <w:t xml:space="preserve"> (Framework Agreement)</w:t>
      </w:r>
      <w:r w:rsidR="00D637EE">
        <w:rPr>
          <w:i/>
          <w:sz w:val="24"/>
        </w:rPr>
        <w:t>.</w:t>
      </w:r>
      <w:r w:rsidR="00D637EE">
        <w:rPr>
          <w:sz w:val="24"/>
        </w:rPr>
        <w:t xml:space="preserve"> The federal government is also a party to the agreement and ratified it through the </w:t>
      </w:r>
      <w:r w:rsidR="00D637EE">
        <w:rPr>
          <w:i/>
          <w:sz w:val="24"/>
        </w:rPr>
        <w:t>First Nation Lands Management Act</w:t>
      </w:r>
      <w:r w:rsidR="00D637EE">
        <w:rPr>
          <w:sz w:val="24"/>
        </w:rPr>
        <w:t xml:space="preserve"> on June 17, 1999. </w:t>
      </w:r>
    </w:p>
    <w:p w14:paraId="0E7CC5D8" w14:textId="77777777" w:rsidR="00D637EE" w:rsidRDefault="00D637EE">
      <w:pPr>
        <w:rPr>
          <w:sz w:val="24"/>
        </w:rPr>
      </w:pPr>
    </w:p>
    <w:p w14:paraId="63BEA57D" w14:textId="20C17B94" w:rsidR="00D637EE" w:rsidRDefault="00D637EE">
      <w:pPr>
        <w:pStyle w:val="BodyText"/>
      </w:pPr>
      <w:r>
        <w:t xml:space="preserve">The Agreement and legislation enable these First Nations to take over management and administration of their reserve lands from the Department of </w:t>
      </w:r>
      <w:r w:rsidR="00BD47F9">
        <w:t xml:space="preserve">Indigenous </w:t>
      </w:r>
      <w:r w:rsidR="004E219F">
        <w:t xml:space="preserve">and Northern </w:t>
      </w:r>
      <w:r>
        <w:t>Affairs</w:t>
      </w:r>
      <w:r w:rsidR="004E219F">
        <w:t xml:space="preserve"> Canada</w:t>
      </w:r>
      <w:r>
        <w:t xml:space="preserve">. In order to do this each First Nation must enter into an Individual Agreement with the </w:t>
      </w:r>
      <w:r w:rsidR="004E219F">
        <w:t>Department of Indigenous and Northern Affairs Canada</w:t>
      </w:r>
      <w:r>
        <w:t xml:space="preserve">. This Individual Agreement sets out the specifics of the transfer of management of reserve lands from Canada to </w:t>
      </w:r>
      <w:r w:rsidR="006A3A48">
        <w:t>Hiawatha</w:t>
      </w:r>
      <w:r w:rsidR="0077185D">
        <w:t xml:space="preserve"> </w:t>
      </w:r>
      <w:r w:rsidR="00C87CD4">
        <w:t>First Nation</w:t>
      </w:r>
      <w:r>
        <w:t xml:space="preserve">. </w:t>
      </w:r>
    </w:p>
    <w:p w14:paraId="23DFAB31" w14:textId="77777777" w:rsidR="00D637EE" w:rsidRDefault="00D637EE">
      <w:pPr>
        <w:pStyle w:val="BodyText"/>
      </w:pPr>
    </w:p>
    <w:p w14:paraId="56B7372A" w14:textId="77777777" w:rsidR="00D637EE" w:rsidRDefault="00D637EE">
      <w:pPr>
        <w:pStyle w:val="BodyText"/>
      </w:pPr>
      <w:r>
        <w:t xml:space="preserve">The Individual Agreement </w:t>
      </w:r>
      <w:r w:rsidR="00B40A5F" w:rsidRPr="00B40A5F">
        <w:t>has 12 sections and 7 attached documents which are called “Annexes”</w:t>
      </w:r>
      <w:r w:rsidR="0077185D">
        <w:t xml:space="preserve"> and</w:t>
      </w:r>
      <w:r w:rsidR="00B40A5F" w:rsidRPr="00B40A5F">
        <w:t xml:space="preserve"> </w:t>
      </w:r>
      <w:r>
        <w:t>is summarized as follows:</w:t>
      </w:r>
    </w:p>
    <w:p w14:paraId="4DCC2138" w14:textId="77777777" w:rsidR="00D637EE" w:rsidRDefault="00D637EE">
      <w:pPr>
        <w:rPr>
          <w:sz w:val="24"/>
        </w:rPr>
      </w:pPr>
    </w:p>
    <w:p w14:paraId="2B234ED1" w14:textId="77777777" w:rsidR="002D2F73" w:rsidRDefault="00D637EE">
      <w:pPr>
        <w:pStyle w:val="Heading2"/>
      </w:pPr>
      <w:r>
        <w:t>Section 1- Interpretation</w:t>
      </w:r>
    </w:p>
    <w:p w14:paraId="049369DE" w14:textId="77777777" w:rsidR="00D637EE" w:rsidRDefault="00F641D3">
      <w:pPr>
        <w:pStyle w:val="Heading2"/>
      </w:pPr>
      <w:r>
        <w:pict w14:anchorId="0330183F">
          <v:rect id="_x0000_i1025" style="width:0;height:1.5pt" o:hralign="center" o:hrstd="t" o:hr="t" fillcolor="#a0a0a0" stroked="f"/>
        </w:pict>
      </w:r>
    </w:p>
    <w:p w14:paraId="26511722" w14:textId="35B00DE5" w:rsidR="00D637EE" w:rsidRDefault="00BB77ED">
      <w:pPr>
        <w:rPr>
          <w:sz w:val="24"/>
        </w:rPr>
      </w:pPr>
      <w:r>
        <w:rPr>
          <w:sz w:val="24"/>
        </w:rPr>
        <w:t>This se</w:t>
      </w:r>
      <w:r w:rsidR="00D637EE">
        <w:rPr>
          <w:sz w:val="24"/>
        </w:rPr>
        <w:t xml:space="preserve">ction defines the terms that are used in the Agreement, including identifying </w:t>
      </w:r>
      <w:r w:rsidR="00076428">
        <w:rPr>
          <w:sz w:val="24"/>
        </w:rPr>
        <w:t xml:space="preserve">Hiawatha First Nation </w:t>
      </w:r>
      <w:r w:rsidR="00D637EE" w:rsidRPr="00924C85">
        <w:rPr>
          <w:sz w:val="24"/>
        </w:rPr>
        <w:t>as the</w:t>
      </w:r>
      <w:r w:rsidR="00D637EE">
        <w:rPr>
          <w:sz w:val="24"/>
        </w:rPr>
        <w:t xml:space="preserve"> r</w:t>
      </w:r>
      <w:r w:rsidR="00C87CD4">
        <w:rPr>
          <w:sz w:val="24"/>
        </w:rPr>
        <w:t>eserve land</w:t>
      </w:r>
      <w:r w:rsidR="006B6DAD">
        <w:rPr>
          <w:sz w:val="24"/>
        </w:rPr>
        <w:t>s</w:t>
      </w:r>
      <w:r w:rsidR="00C87CD4">
        <w:rPr>
          <w:sz w:val="24"/>
        </w:rPr>
        <w:t xml:space="preserve"> to which the </w:t>
      </w:r>
      <w:r w:rsidR="0056593D" w:rsidRPr="0056593D">
        <w:rPr>
          <w:i/>
          <w:sz w:val="24"/>
        </w:rPr>
        <w:t>Land Code</w:t>
      </w:r>
      <w:r w:rsidR="00C87CD4">
        <w:rPr>
          <w:sz w:val="24"/>
        </w:rPr>
        <w:t xml:space="preserve"> will apply. </w:t>
      </w:r>
      <w:r w:rsidR="00D637EE">
        <w:rPr>
          <w:sz w:val="24"/>
        </w:rPr>
        <w:t xml:space="preserve"> </w:t>
      </w:r>
    </w:p>
    <w:p w14:paraId="0FF130A5" w14:textId="77777777" w:rsidR="00D637EE" w:rsidRDefault="00D637EE">
      <w:pPr>
        <w:rPr>
          <w:sz w:val="24"/>
        </w:rPr>
      </w:pPr>
    </w:p>
    <w:p w14:paraId="32E3F3BF" w14:textId="77777777" w:rsidR="002D2F73" w:rsidRDefault="00C87CD4">
      <w:pPr>
        <w:pStyle w:val="Heading2"/>
      </w:pPr>
      <w:r>
        <w:t>Section 2- Information provided by Canada</w:t>
      </w:r>
    </w:p>
    <w:p w14:paraId="6E0ABD00" w14:textId="77777777" w:rsidR="00D637EE" w:rsidRDefault="00F641D3">
      <w:pPr>
        <w:pStyle w:val="Heading2"/>
      </w:pPr>
      <w:r>
        <w:pict w14:anchorId="671EE9B3">
          <v:rect id="_x0000_i1026" style="width:0;height:1.5pt" o:hralign="center" o:hrstd="t" o:hr="t" fillcolor="#a0a0a0" stroked="f"/>
        </w:pict>
      </w:r>
    </w:p>
    <w:p w14:paraId="2D01A84E" w14:textId="77777777" w:rsidR="00C87CD4" w:rsidRDefault="0077185D" w:rsidP="00C87CD4">
      <w:pPr>
        <w:rPr>
          <w:sz w:val="24"/>
        </w:rPr>
      </w:pPr>
      <w:r w:rsidRPr="0077185D">
        <w:rPr>
          <w:sz w:val="24"/>
        </w:rPr>
        <w:t>This section sets out the information provided by Canada. This includes lists of interests (such as CPs and leases) and known environmental issues on the First Nation’s Reserve lands. The lists of interests are set out in Annex ‘C’ and known environmental issues are set out in Annex ‘D’.</w:t>
      </w:r>
    </w:p>
    <w:p w14:paraId="33A28331" w14:textId="77777777" w:rsidR="0077185D" w:rsidRPr="00167691" w:rsidRDefault="0077185D" w:rsidP="00C87CD4">
      <w:pPr>
        <w:rPr>
          <w:sz w:val="24"/>
        </w:rPr>
      </w:pPr>
    </w:p>
    <w:p w14:paraId="7C8FB3E2" w14:textId="77777777" w:rsidR="00C87CD4" w:rsidRDefault="00E340F0" w:rsidP="00C87CD4">
      <w:pPr>
        <w:rPr>
          <w:sz w:val="24"/>
        </w:rPr>
      </w:pPr>
      <w:r w:rsidRPr="00167691">
        <w:rPr>
          <w:sz w:val="24"/>
        </w:rPr>
        <w:t xml:space="preserve">A list and copies of any other information in Canada’s possession that materially affects the interests and licences will be listed in “Annex E”. </w:t>
      </w:r>
    </w:p>
    <w:p w14:paraId="2FF4D113" w14:textId="77777777" w:rsidR="00C87CD4" w:rsidRDefault="00C87CD4" w:rsidP="00C87CD4">
      <w:pPr>
        <w:rPr>
          <w:sz w:val="24"/>
        </w:rPr>
      </w:pPr>
    </w:p>
    <w:p w14:paraId="5E059600" w14:textId="77777777" w:rsidR="002D2F73" w:rsidRDefault="00E340F0" w:rsidP="00E340F0">
      <w:pPr>
        <w:pStyle w:val="Heading2"/>
      </w:pPr>
      <w:r>
        <w:t xml:space="preserve">Section 3 - Transfer of Land Administration </w:t>
      </w:r>
    </w:p>
    <w:p w14:paraId="17585E83" w14:textId="77777777" w:rsidR="00E340F0" w:rsidRDefault="00F641D3" w:rsidP="00E340F0">
      <w:pPr>
        <w:pStyle w:val="Heading2"/>
      </w:pPr>
      <w:r>
        <w:pict w14:anchorId="27F85671">
          <v:rect id="_x0000_i1027" style="width:0;height:1.5pt" o:hralign="center" o:hrstd="t" o:hr="t" fillcolor="#a0a0a0" stroked="f"/>
        </w:pict>
      </w:r>
    </w:p>
    <w:p w14:paraId="342E7945" w14:textId="2CCB9274" w:rsidR="00E340F0" w:rsidRDefault="00BB77ED" w:rsidP="00E340F0">
      <w:pPr>
        <w:rPr>
          <w:sz w:val="24"/>
        </w:rPr>
      </w:pPr>
      <w:r>
        <w:rPr>
          <w:sz w:val="24"/>
        </w:rPr>
        <w:t>A</w:t>
      </w:r>
      <w:r w:rsidR="00E510F1">
        <w:rPr>
          <w:sz w:val="24"/>
        </w:rPr>
        <w:t xml:space="preserve">s of the date the </w:t>
      </w:r>
      <w:r w:rsidR="0056593D" w:rsidRPr="0056593D">
        <w:rPr>
          <w:i/>
          <w:sz w:val="24"/>
        </w:rPr>
        <w:t>Land Code</w:t>
      </w:r>
      <w:r w:rsidR="00E510F1">
        <w:rPr>
          <w:sz w:val="24"/>
        </w:rPr>
        <w:t xml:space="preserve"> comes into force, </w:t>
      </w:r>
      <w:r w:rsidR="00E340F0">
        <w:rPr>
          <w:sz w:val="24"/>
        </w:rPr>
        <w:t xml:space="preserve">Canada will transfer the management and control of </w:t>
      </w:r>
      <w:r w:rsidR="00076428">
        <w:rPr>
          <w:sz w:val="24"/>
        </w:rPr>
        <w:t>Hiawatha First Nation</w:t>
      </w:r>
      <w:r w:rsidR="006B6DAD">
        <w:rPr>
          <w:sz w:val="24"/>
        </w:rPr>
        <w:t xml:space="preserve"> </w:t>
      </w:r>
      <w:r w:rsidR="00E340F0">
        <w:rPr>
          <w:sz w:val="24"/>
        </w:rPr>
        <w:t xml:space="preserve">reserve lands to </w:t>
      </w:r>
      <w:r w:rsidR="006A3A48">
        <w:rPr>
          <w:sz w:val="24"/>
        </w:rPr>
        <w:t>Hiawatha</w:t>
      </w:r>
      <w:r w:rsidR="0077185D" w:rsidRPr="00924C85">
        <w:rPr>
          <w:sz w:val="24"/>
        </w:rPr>
        <w:t xml:space="preserve"> </w:t>
      </w:r>
      <w:r w:rsidR="00E510F1" w:rsidRPr="00E510F1">
        <w:rPr>
          <w:sz w:val="24"/>
        </w:rPr>
        <w:t>First Nation</w:t>
      </w:r>
      <w:r w:rsidR="00E510F1">
        <w:rPr>
          <w:sz w:val="24"/>
        </w:rPr>
        <w:t xml:space="preserve">. </w:t>
      </w:r>
      <w:r w:rsidR="006A3A48">
        <w:rPr>
          <w:sz w:val="24"/>
        </w:rPr>
        <w:t>Hiawatha</w:t>
      </w:r>
      <w:r w:rsidR="0077185D" w:rsidRPr="00924C85">
        <w:rPr>
          <w:sz w:val="24"/>
        </w:rPr>
        <w:t xml:space="preserve"> </w:t>
      </w:r>
      <w:r w:rsidR="00E510F1" w:rsidRPr="00E510F1">
        <w:rPr>
          <w:sz w:val="24"/>
        </w:rPr>
        <w:t>First Nation</w:t>
      </w:r>
      <w:r w:rsidR="00E340F0">
        <w:rPr>
          <w:sz w:val="24"/>
        </w:rPr>
        <w:t xml:space="preserve"> will then begin managing and controlling its lands and natural resources under its </w:t>
      </w:r>
      <w:r w:rsidR="0056593D" w:rsidRPr="0056593D">
        <w:rPr>
          <w:i/>
          <w:sz w:val="24"/>
        </w:rPr>
        <w:t>Land Code</w:t>
      </w:r>
      <w:r w:rsidR="00E340F0">
        <w:rPr>
          <w:sz w:val="24"/>
        </w:rPr>
        <w:t>.</w:t>
      </w:r>
    </w:p>
    <w:p w14:paraId="75EF0FF3" w14:textId="77777777" w:rsidR="00C87CD4" w:rsidRDefault="00C87CD4" w:rsidP="00C87CD4">
      <w:pPr>
        <w:rPr>
          <w:sz w:val="24"/>
        </w:rPr>
      </w:pPr>
    </w:p>
    <w:p w14:paraId="6F43CCD8" w14:textId="77777777" w:rsidR="002D2F73" w:rsidRDefault="00D637EE">
      <w:pPr>
        <w:pStyle w:val="Heading2"/>
      </w:pPr>
      <w:r>
        <w:t xml:space="preserve">Section </w:t>
      </w:r>
      <w:r w:rsidR="00E510F1">
        <w:t>4 –</w:t>
      </w:r>
      <w:r>
        <w:t xml:space="preserve"> </w:t>
      </w:r>
      <w:r w:rsidR="00E510F1">
        <w:t>Acceptance of Transfer of Land Administration</w:t>
      </w:r>
    </w:p>
    <w:p w14:paraId="17166625" w14:textId="77777777" w:rsidR="00D637EE" w:rsidRDefault="00F641D3">
      <w:pPr>
        <w:pStyle w:val="Heading2"/>
      </w:pPr>
      <w:r>
        <w:pict w14:anchorId="7D18F26E">
          <v:rect id="_x0000_i1028" style="width:0;height:1.5pt" o:hralign="center" o:hrstd="t" o:hr="t" fillcolor="#a0a0a0" stroked="f"/>
        </w:pict>
      </w:r>
    </w:p>
    <w:p w14:paraId="51594DAA" w14:textId="5FBA5555" w:rsidR="00E510F1" w:rsidRDefault="005901AC">
      <w:pPr>
        <w:rPr>
          <w:sz w:val="24"/>
        </w:rPr>
      </w:pPr>
      <w:r>
        <w:rPr>
          <w:sz w:val="24"/>
        </w:rPr>
        <w:t xml:space="preserve">As of the date the </w:t>
      </w:r>
      <w:r w:rsidR="0056593D" w:rsidRPr="0056593D">
        <w:rPr>
          <w:i/>
          <w:sz w:val="24"/>
        </w:rPr>
        <w:t>Land Code</w:t>
      </w:r>
      <w:r>
        <w:rPr>
          <w:sz w:val="24"/>
        </w:rPr>
        <w:t xml:space="preserve"> comes into force, the land management provisions of the </w:t>
      </w:r>
      <w:r w:rsidRPr="00F60E61">
        <w:rPr>
          <w:i/>
          <w:sz w:val="24"/>
        </w:rPr>
        <w:t>Indian Act</w:t>
      </w:r>
      <w:r>
        <w:rPr>
          <w:sz w:val="24"/>
        </w:rPr>
        <w:t xml:space="preserve">, as listed in the </w:t>
      </w:r>
      <w:r w:rsidRPr="00F60E61">
        <w:rPr>
          <w:i/>
          <w:sz w:val="24"/>
        </w:rPr>
        <w:t xml:space="preserve">Framework Agreement </w:t>
      </w:r>
      <w:r>
        <w:rPr>
          <w:sz w:val="24"/>
        </w:rPr>
        <w:t xml:space="preserve">cease to apply and Canada retains no powers and obligations in relation </w:t>
      </w:r>
      <w:r w:rsidRPr="00555411">
        <w:rPr>
          <w:sz w:val="24"/>
        </w:rPr>
        <w:t xml:space="preserve">to </w:t>
      </w:r>
      <w:r w:rsidR="006A3A48">
        <w:rPr>
          <w:sz w:val="24"/>
        </w:rPr>
        <w:t>Hiawatha</w:t>
      </w:r>
      <w:r w:rsidR="0077185D" w:rsidRPr="00924C85">
        <w:rPr>
          <w:sz w:val="24"/>
        </w:rPr>
        <w:t xml:space="preserve"> </w:t>
      </w:r>
      <w:r w:rsidRPr="00555411">
        <w:rPr>
          <w:sz w:val="24"/>
        </w:rPr>
        <w:t>First</w:t>
      </w:r>
      <w:r w:rsidRPr="00E510F1">
        <w:rPr>
          <w:sz w:val="24"/>
        </w:rPr>
        <w:t xml:space="preserve"> Nation</w:t>
      </w:r>
      <w:r>
        <w:rPr>
          <w:sz w:val="24"/>
        </w:rPr>
        <w:t xml:space="preserve"> Land under these provisions</w:t>
      </w:r>
      <w:r w:rsidR="008B7313">
        <w:rPr>
          <w:sz w:val="24"/>
        </w:rPr>
        <w:t xml:space="preserve">. </w:t>
      </w:r>
      <w:r w:rsidR="006A3A48">
        <w:rPr>
          <w:sz w:val="24"/>
        </w:rPr>
        <w:t>Hiawatha</w:t>
      </w:r>
      <w:r w:rsidR="0077185D" w:rsidRPr="00924C85">
        <w:rPr>
          <w:sz w:val="24"/>
        </w:rPr>
        <w:t xml:space="preserve"> </w:t>
      </w:r>
      <w:r w:rsidRPr="00555411">
        <w:rPr>
          <w:sz w:val="24"/>
        </w:rPr>
        <w:t>First</w:t>
      </w:r>
      <w:r w:rsidRPr="00E510F1">
        <w:rPr>
          <w:sz w:val="24"/>
        </w:rPr>
        <w:t xml:space="preserve"> Nation</w:t>
      </w:r>
      <w:r>
        <w:rPr>
          <w:sz w:val="24"/>
        </w:rPr>
        <w:t xml:space="preserve"> shall commence governing </w:t>
      </w:r>
      <w:r w:rsidR="008B7313">
        <w:rPr>
          <w:sz w:val="24"/>
        </w:rPr>
        <w:t>its Firs</w:t>
      </w:r>
      <w:r w:rsidRPr="00555411">
        <w:rPr>
          <w:sz w:val="24"/>
        </w:rPr>
        <w:t>t</w:t>
      </w:r>
      <w:r w:rsidRPr="00E510F1">
        <w:rPr>
          <w:sz w:val="24"/>
        </w:rPr>
        <w:t xml:space="preserve"> Nation</w:t>
      </w:r>
      <w:r>
        <w:rPr>
          <w:sz w:val="24"/>
        </w:rPr>
        <w:t xml:space="preserve"> Land pursuant to its </w:t>
      </w:r>
      <w:r w:rsidR="0056593D" w:rsidRPr="0056593D">
        <w:rPr>
          <w:i/>
          <w:sz w:val="24"/>
        </w:rPr>
        <w:t>Land Code</w:t>
      </w:r>
      <w:r>
        <w:rPr>
          <w:sz w:val="24"/>
        </w:rPr>
        <w:t xml:space="preserve">.  </w:t>
      </w:r>
    </w:p>
    <w:p w14:paraId="6A0563BF" w14:textId="77777777" w:rsidR="004E219F" w:rsidRDefault="004E219F">
      <w:pPr>
        <w:rPr>
          <w:sz w:val="24"/>
        </w:rPr>
      </w:pPr>
    </w:p>
    <w:p w14:paraId="6BD0934A" w14:textId="77777777" w:rsidR="004E219F" w:rsidRDefault="004E219F">
      <w:pPr>
        <w:rPr>
          <w:sz w:val="24"/>
        </w:rPr>
      </w:pPr>
      <w:r>
        <w:rPr>
          <w:sz w:val="24"/>
        </w:rPr>
        <w:t xml:space="preserve">Note: </w:t>
      </w:r>
      <w:r w:rsidRPr="004E219F">
        <w:rPr>
          <w:sz w:val="24"/>
        </w:rPr>
        <w:t xml:space="preserve">Canada will remain liable for and will indemnify a First Nation for losses suffered as a result of any act or omission by Canada, or its agents, that occurred before the </w:t>
      </w:r>
      <w:r w:rsidR="0056593D" w:rsidRPr="0056593D">
        <w:rPr>
          <w:i/>
          <w:sz w:val="24"/>
        </w:rPr>
        <w:t>Land Code</w:t>
      </w:r>
      <w:r w:rsidRPr="004E219F">
        <w:rPr>
          <w:sz w:val="24"/>
        </w:rPr>
        <w:t xml:space="preserve"> comes into effect.</w:t>
      </w:r>
    </w:p>
    <w:p w14:paraId="3BAF7638" w14:textId="77777777" w:rsidR="00D637EE" w:rsidRDefault="00D637EE">
      <w:pPr>
        <w:rPr>
          <w:sz w:val="24"/>
        </w:rPr>
      </w:pPr>
    </w:p>
    <w:p w14:paraId="55571164" w14:textId="77777777" w:rsidR="002D2F73" w:rsidRDefault="00D637EE" w:rsidP="002D2F73">
      <w:pPr>
        <w:pStyle w:val="Heading2"/>
      </w:pPr>
      <w:r>
        <w:t>Section 5- Operational Funding</w:t>
      </w:r>
    </w:p>
    <w:p w14:paraId="08431B5F" w14:textId="77777777" w:rsidR="00D637EE" w:rsidRDefault="00F641D3" w:rsidP="002D2F73">
      <w:pPr>
        <w:pStyle w:val="Heading2"/>
      </w:pPr>
      <w:r>
        <w:pict w14:anchorId="41196DCE">
          <v:rect id="_x0000_i1029" style="width:0;height:1.5pt" o:hralign="center" o:hrstd="t" o:hr="t" fillcolor="#a0a0a0" stroked="f"/>
        </w:pict>
      </w:r>
    </w:p>
    <w:p w14:paraId="117DD086" w14:textId="66F2E4CD" w:rsidR="0082741F" w:rsidRDefault="00D637EE">
      <w:pPr>
        <w:rPr>
          <w:sz w:val="24"/>
        </w:rPr>
      </w:pPr>
      <w:r>
        <w:rPr>
          <w:sz w:val="24"/>
        </w:rPr>
        <w:t xml:space="preserve">This section </w:t>
      </w:r>
      <w:r w:rsidR="0082741F">
        <w:rPr>
          <w:sz w:val="24"/>
        </w:rPr>
        <w:t xml:space="preserve">outlines </w:t>
      </w:r>
      <w:r w:rsidR="0082741F">
        <w:rPr>
          <w:sz w:val="24"/>
          <w:lang w:val="en-CA"/>
        </w:rPr>
        <w:t xml:space="preserve">Canada`s obligations </w:t>
      </w:r>
      <w:r>
        <w:rPr>
          <w:sz w:val="24"/>
        </w:rPr>
        <w:t xml:space="preserve">to </w:t>
      </w:r>
      <w:r w:rsidR="0082741F">
        <w:rPr>
          <w:sz w:val="24"/>
        </w:rPr>
        <w:t>fund the</w:t>
      </w:r>
      <w:r>
        <w:rPr>
          <w:sz w:val="24"/>
        </w:rPr>
        <w:t xml:space="preserve"> </w:t>
      </w:r>
      <w:r w:rsidR="006A3A48">
        <w:rPr>
          <w:sz w:val="24"/>
        </w:rPr>
        <w:t>Hiawatha</w:t>
      </w:r>
      <w:r w:rsidR="008B7313" w:rsidRPr="00924C85">
        <w:rPr>
          <w:sz w:val="24"/>
        </w:rPr>
        <w:t xml:space="preserve"> </w:t>
      </w:r>
      <w:r w:rsidR="005901AC" w:rsidRPr="00E510F1">
        <w:rPr>
          <w:sz w:val="24"/>
        </w:rPr>
        <w:t>First Nation</w:t>
      </w:r>
      <w:r>
        <w:rPr>
          <w:sz w:val="24"/>
        </w:rPr>
        <w:t xml:space="preserve"> </w:t>
      </w:r>
      <w:r w:rsidR="0082741F">
        <w:rPr>
          <w:sz w:val="24"/>
        </w:rPr>
        <w:t xml:space="preserve">as required by the </w:t>
      </w:r>
      <w:r w:rsidR="0082741F" w:rsidRPr="00F60E61">
        <w:rPr>
          <w:i/>
          <w:sz w:val="24"/>
        </w:rPr>
        <w:t>Framework Agreement</w:t>
      </w:r>
      <w:r w:rsidR="0082741F">
        <w:rPr>
          <w:sz w:val="24"/>
        </w:rPr>
        <w:t xml:space="preserve">. Canada shall provide Operational Funding </w:t>
      </w:r>
      <w:r w:rsidR="00FD6984">
        <w:rPr>
          <w:sz w:val="24"/>
        </w:rPr>
        <w:t xml:space="preserve">in the amount of </w:t>
      </w:r>
      <w:r w:rsidR="00FD6984" w:rsidRPr="00D9491A">
        <w:rPr>
          <w:sz w:val="24"/>
        </w:rPr>
        <w:t>$</w:t>
      </w:r>
      <w:r w:rsidR="00AB7C92">
        <w:rPr>
          <w:sz w:val="24"/>
        </w:rPr>
        <w:t>280,508</w:t>
      </w:r>
      <w:r w:rsidR="004B5C79">
        <w:rPr>
          <w:sz w:val="24"/>
        </w:rPr>
        <w:t xml:space="preserve"> with an annual increase of 1%, </w:t>
      </w:r>
      <w:r w:rsidR="0082741F">
        <w:rPr>
          <w:sz w:val="24"/>
        </w:rPr>
        <w:t xml:space="preserve">to the </w:t>
      </w:r>
      <w:r w:rsidR="006A3A48">
        <w:rPr>
          <w:sz w:val="24"/>
        </w:rPr>
        <w:t>Hiawatha</w:t>
      </w:r>
      <w:r w:rsidR="008B7313" w:rsidRPr="00924C85">
        <w:rPr>
          <w:sz w:val="24"/>
        </w:rPr>
        <w:t xml:space="preserve"> </w:t>
      </w:r>
      <w:r w:rsidR="0082741F">
        <w:rPr>
          <w:sz w:val="24"/>
        </w:rPr>
        <w:t>First Nation as indicated in “Annex A</w:t>
      </w:r>
      <w:r w:rsidR="0082741F">
        <w:rPr>
          <w:sz w:val="24"/>
          <w:lang w:val="en-CA"/>
        </w:rPr>
        <w:t>”</w:t>
      </w:r>
      <w:r w:rsidR="0082741F">
        <w:rPr>
          <w:sz w:val="24"/>
        </w:rPr>
        <w:t xml:space="preserve"> in accordance with the Operational Funding Formula as amended from time to time.</w:t>
      </w:r>
    </w:p>
    <w:p w14:paraId="22B56352" w14:textId="77777777" w:rsidR="0082741F" w:rsidRDefault="0082741F">
      <w:pPr>
        <w:rPr>
          <w:sz w:val="24"/>
        </w:rPr>
      </w:pPr>
    </w:p>
    <w:p w14:paraId="23B014F0" w14:textId="2D9E1B46" w:rsidR="00FD6984" w:rsidRDefault="00FD6984">
      <w:pPr>
        <w:rPr>
          <w:sz w:val="24"/>
        </w:rPr>
      </w:pPr>
      <w:r>
        <w:rPr>
          <w:sz w:val="24"/>
        </w:rPr>
        <w:t xml:space="preserve">In addition to Operational Funding, </w:t>
      </w:r>
      <w:r w:rsidR="006A3A48">
        <w:rPr>
          <w:sz w:val="24"/>
        </w:rPr>
        <w:t>Hiawatha</w:t>
      </w:r>
      <w:r w:rsidR="008B7313" w:rsidRPr="00924C85">
        <w:rPr>
          <w:sz w:val="24"/>
        </w:rPr>
        <w:t xml:space="preserve"> </w:t>
      </w:r>
      <w:r w:rsidRPr="00E510F1">
        <w:rPr>
          <w:sz w:val="24"/>
        </w:rPr>
        <w:t>First Nation</w:t>
      </w:r>
      <w:r>
        <w:rPr>
          <w:sz w:val="24"/>
        </w:rPr>
        <w:t xml:space="preserve"> will also receive Transitional and Environmental Funding. </w:t>
      </w:r>
      <w:r w:rsidR="006A3A48">
        <w:rPr>
          <w:sz w:val="24"/>
        </w:rPr>
        <w:t>Hiawatha</w:t>
      </w:r>
      <w:r w:rsidR="008B7313" w:rsidRPr="00924C85">
        <w:rPr>
          <w:sz w:val="24"/>
        </w:rPr>
        <w:t xml:space="preserve"> </w:t>
      </w:r>
      <w:r w:rsidRPr="00E510F1">
        <w:rPr>
          <w:sz w:val="24"/>
        </w:rPr>
        <w:t>First Nation</w:t>
      </w:r>
      <w:r>
        <w:rPr>
          <w:sz w:val="24"/>
        </w:rPr>
        <w:t xml:space="preserve"> will receive one-time payments of $75,000 for the first fiscal year and $75,000 for the second fiscal year. </w:t>
      </w:r>
    </w:p>
    <w:p w14:paraId="351FEDFD" w14:textId="77777777" w:rsidR="00D637EE" w:rsidRDefault="00D637EE">
      <w:pPr>
        <w:rPr>
          <w:sz w:val="24"/>
        </w:rPr>
      </w:pPr>
    </w:p>
    <w:p w14:paraId="24F9E298" w14:textId="77777777" w:rsidR="002D2F73" w:rsidRDefault="00D637EE" w:rsidP="002D2F73">
      <w:pPr>
        <w:pStyle w:val="Heading2"/>
      </w:pPr>
      <w:r>
        <w:t xml:space="preserve">Section 6- Transfer of </w:t>
      </w:r>
      <w:r w:rsidR="000813EA">
        <w:t>Moneys</w:t>
      </w:r>
    </w:p>
    <w:p w14:paraId="2176B956" w14:textId="77777777" w:rsidR="00D637EE" w:rsidRDefault="00F641D3" w:rsidP="002D2F73">
      <w:pPr>
        <w:pStyle w:val="Heading2"/>
      </w:pPr>
      <w:r>
        <w:pict w14:anchorId="07965DD1">
          <v:rect id="_x0000_i1030" style="width:0;height:1.5pt" o:hralign="center" o:hrstd="t" o:hr="t" fillcolor="#a0a0a0" stroked="f"/>
        </w:pict>
      </w:r>
    </w:p>
    <w:p w14:paraId="62B0E318" w14:textId="26EBF057" w:rsidR="00D637EE" w:rsidRDefault="00D637EE">
      <w:pPr>
        <w:rPr>
          <w:sz w:val="24"/>
        </w:rPr>
      </w:pPr>
      <w:r>
        <w:rPr>
          <w:sz w:val="24"/>
        </w:rPr>
        <w:t xml:space="preserve">This section obligates Canada to transfer to </w:t>
      </w:r>
      <w:r w:rsidR="006A3A48">
        <w:rPr>
          <w:sz w:val="24"/>
        </w:rPr>
        <w:t>Hiawatha</w:t>
      </w:r>
      <w:r w:rsidR="00EC189F">
        <w:rPr>
          <w:sz w:val="24"/>
        </w:rPr>
        <w:t xml:space="preserve"> </w:t>
      </w:r>
      <w:r w:rsidR="00FD6984" w:rsidRPr="00E510F1">
        <w:rPr>
          <w:sz w:val="24"/>
        </w:rPr>
        <w:t>First Nation</w:t>
      </w:r>
      <w:r w:rsidR="00FD6984">
        <w:rPr>
          <w:sz w:val="24"/>
        </w:rPr>
        <w:t xml:space="preserve"> </w:t>
      </w:r>
      <w:r>
        <w:rPr>
          <w:sz w:val="24"/>
        </w:rPr>
        <w:t xml:space="preserve">any moneys it holds in trust for the use and benefit of </w:t>
      </w:r>
      <w:r w:rsidR="006A3A48">
        <w:rPr>
          <w:sz w:val="24"/>
        </w:rPr>
        <w:t>Hiawatha</w:t>
      </w:r>
      <w:r w:rsidR="00593A45">
        <w:rPr>
          <w:sz w:val="24"/>
        </w:rPr>
        <w:t xml:space="preserve"> </w:t>
      </w:r>
      <w:r w:rsidR="00FD6984" w:rsidRPr="00E510F1">
        <w:rPr>
          <w:sz w:val="24"/>
        </w:rPr>
        <w:t>First Nation</w:t>
      </w:r>
      <w:r>
        <w:rPr>
          <w:sz w:val="24"/>
        </w:rPr>
        <w:t xml:space="preserve"> and any revenues it receives from reserve lands. Canada will transfer to </w:t>
      </w:r>
      <w:r w:rsidR="006A3A48">
        <w:rPr>
          <w:sz w:val="24"/>
        </w:rPr>
        <w:t>Hiawatha</w:t>
      </w:r>
      <w:r w:rsidR="00593A45" w:rsidRPr="00924C85">
        <w:rPr>
          <w:sz w:val="24"/>
        </w:rPr>
        <w:t xml:space="preserve"> </w:t>
      </w:r>
      <w:r w:rsidR="007A5BBC" w:rsidRPr="00E510F1">
        <w:rPr>
          <w:sz w:val="24"/>
        </w:rPr>
        <w:t>First Nation</w:t>
      </w:r>
      <w:r>
        <w:rPr>
          <w:sz w:val="24"/>
        </w:rPr>
        <w:t xml:space="preserve"> the amount of </w:t>
      </w:r>
      <w:r w:rsidRPr="00D9491A">
        <w:rPr>
          <w:sz w:val="24"/>
        </w:rPr>
        <w:t>$</w:t>
      </w:r>
      <w:r w:rsidR="00F250C2">
        <w:rPr>
          <w:sz w:val="24"/>
        </w:rPr>
        <w:t>247,</w:t>
      </w:r>
      <w:r w:rsidR="006A460B">
        <w:rPr>
          <w:sz w:val="24"/>
        </w:rPr>
        <w:t>332.78</w:t>
      </w:r>
      <w:r w:rsidR="00D9491A">
        <w:rPr>
          <w:sz w:val="24"/>
        </w:rPr>
        <w:t xml:space="preserve"> </w:t>
      </w:r>
      <w:r>
        <w:rPr>
          <w:sz w:val="24"/>
        </w:rPr>
        <w:t xml:space="preserve">that is currently held in the </w:t>
      </w:r>
      <w:r w:rsidR="006A3A48">
        <w:rPr>
          <w:sz w:val="24"/>
        </w:rPr>
        <w:t>Hiawatha</w:t>
      </w:r>
      <w:r w:rsidR="00593A45" w:rsidRPr="00924C85">
        <w:rPr>
          <w:sz w:val="24"/>
        </w:rPr>
        <w:t xml:space="preserve"> </w:t>
      </w:r>
      <w:r w:rsidR="007A5BBC" w:rsidRPr="00E510F1">
        <w:rPr>
          <w:sz w:val="24"/>
        </w:rPr>
        <w:t>First Nation</w:t>
      </w:r>
      <w:r>
        <w:rPr>
          <w:sz w:val="24"/>
        </w:rPr>
        <w:t xml:space="preserve"> Revenue Account</w:t>
      </w:r>
      <w:r w:rsidR="00593A45">
        <w:rPr>
          <w:sz w:val="24"/>
        </w:rPr>
        <w:t xml:space="preserve"> and $</w:t>
      </w:r>
      <w:r w:rsidR="006A460B">
        <w:rPr>
          <w:sz w:val="24"/>
        </w:rPr>
        <w:t>12,870.15</w:t>
      </w:r>
      <w:r w:rsidR="00593A45">
        <w:rPr>
          <w:sz w:val="24"/>
        </w:rPr>
        <w:t xml:space="preserve"> that is currently held in the </w:t>
      </w:r>
      <w:r w:rsidR="006A3A48">
        <w:rPr>
          <w:sz w:val="24"/>
        </w:rPr>
        <w:t>Hiawatha</w:t>
      </w:r>
      <w:r w:rsidR="00593A45">
        <w:rPr>
          <w:sz w:val="24"/>
        </w:rPr>
        <w:t xml:space="preserve"> First Nation Capital Account</w:t>
      </w:r>
      <w:r>
        <w:rPr>
          <w:sz w:val="24"/>
        </w:rPr>
        <w:t>.  The procedures for the transfer of funds are set out in “Annex B”.</w:t>
      </w:r>
    </w:p>
    <w:p w14:paraId="3704FB2B" w14:textId="77777777" w:rsidR="00D637EE" w:rsidRDefault="00D637EE">
      <w:pPr>
        <w:rPr>
          <w:sz w:val="24"/>
        </w:rPr>
      </w:pPr>
    </w:p>
    <w:p w14:paraId="5524663A" w14:textId="77777777" w:rsidR="002D2F73" w:rsidRDefault="00D637EE" w:rsidP="002D2F73">
      <w:pPr>
        <w:pStyle w:val="Heading2"/>
      </w:pPr>
      <w:r>
        <w:t xml:space="preserve">Section 7- </w:t>
      </w:r>
      <w:r w:rsidR="00566C16">
        <w:t xml:space="preserve">Notice to Third Parties of Transfer of Administration </w:t>
      </w:r>
    </w:p>
    <w:p w14:paraId="7072B574" w14:textId="77777777" w:rsidR="00D637EE" w:rsidRPr="002D2F73" w:rsidRDefault="00F641D3" w:rsidP="002D2F73">
      <w:pPr>
        <w:pStyle w:val="Heading2"/>
        <w:rPr>
          <w:b w:val="0"/>
        </w:rPr>
      </w:pPr>
      <w:r>
        <w:pict w14:anchorId="2E99D692">
          <v:rect id="_x0000_i1031" style="width:0;height:1.5pt" o:hralign="center" o:hrstd="t" o:hr="t" fillcolor="#a0a0a0" stroked="f"/>
        </w:pict>
      </w:r>
    </w:p>
    <w:p w14:paraId="7BA8230A" w14:textId="455BFF56" w:rsidR="00566C16" w:rsidRDefault="00BB77ED" w:rsidP="00566C16">
      <w:pPr>
        <w:rPr>
          <w:sz w:val="24"/>
        </w:rPr>
      </w:pPr>
      <w:r>
        <w:rPr>
          <w:sz w:val="24"/>
        </w:rPr>
        <w:t>I</w:t>
      </w:r>
      <w:r w:rsidR="00A92463">
        <w:rPr>
          <w:sz w:val="24"/>
        </w:rPr>
        <w:t xml:space="preserve">mmediately following the approval of the </w:t>
      </w:r>
      <w:r w:rsidR="0056593D" w:rsidRPr="0056593D">
        <w:rPr>
          <w:i/>
          <w:sz w:val="24"/>
        </w:rPr>
        <w:t>Land Code</w:t>
      </w:r>
      <w:r w:rsidR="00A92463">
        <w:rPr>
          <w:sz w:val="24"/>
        </w:rPr>
        <w:t xml:space="preserve"> and the Individual Agreement by the members, </w:t>
      </w:r>
      <w:r w:rsidR="006A3A48">
        <w:rPr>
          <w:sz w:val="24"/>
        </w:rPr>
        <w:t>Hiawatha</w:t>
      </w:r>
      <w:r w:rsidR="009D1123" w:rsidRPr="00924C85">
        <w:rPr>
          <w:sz w:val="24"/>
        </w:rPr>
        <w:t xml:space="preserve"> </w:t>
      </w:r>
      <w:r w:rsidR="00905F3B" w:rsidRPr="00E510F1">
        <w:rPr>
          <w:sz w:val="24"/>
        </w:rPr>
        <w:t>First Nation</w:t>
      </w:r>
      <w:r w:rsidR="00A92463">
        <w:rPr>
          <w:sz w:val="24"/>
        </w:rPr>
        <w:t xml:space="preserve"> </w:t>
      </w:r>
      <w:r w:rsidR="005420E1">
        <w:rPr>
          <w:sz w:val="24"/>
        </w:rPr>
        <w:t xml:space="preserve">is </w:t>
      </w:r>
      <w:r w:rsidR="00566C16">
        <w:rPr>
          <w:sz w:val="24"/>
        </w:rPr>
        <w:t xml:space="preserve">to notify any non-members who hold an interest in reserve land that management of reserve lands </w:t>
      </w:r>
      <w:r w:rsidR="00905F3B">
        <w:rPr>
          <w:sz w:val="24"/>
        </w:rPr>
        <w:t xml:space="preserve">that </w:t>
      </w:r>
      <w:r w:rsidR="00566C16">
        <w:rPr>
          <w:sz w:val="24"/>
        </w:rPr>
        <w:t xml:space="preserve">will be transferred to </w:t>
      </w:r>
      <w:r w:rsidR="006A3A48">
        <w:rPr>
          <w:sz w:val="24"/>
        </w:rPr>
        <w:t>Hiawatha</w:t>
      </w:r>
      <w:r w:rsidR="005420E1" w:rsidRPr="00924C85">
        <w:rPr>
          <w:sz w:val="24"/>
        </w:rPr>
        <w:t xml:space="preserve"> </w:t>
      </w:r>
      <w:r w:rsidR="00A92463" w:rsidRPr="00E510F1">
        <w:rPr>
          <w:sz w:val="24"/>
        </w:rPr>
        <w:t>First Nation</w:t>
      </w:r>
      <w:r w:rsidR="00566C16">
        <w:rPr>
          <w:sz w:val="24"/>
        </w:rPr>
        <w:t xml:space="preserve"> and that </w:t>
      </w:r>
      <w:r w:rsidR="006A3A48">
        <w:rPr>
          <w:sz w:val="24"/>
        </w:rPr>
        <w:t>Hiawatha</w:t>
      </w:r>
      <w:r w:rsidR="005420E1" w:rsidRPr="00924C85">
        <w:rPr>
          <w:sz w:val="24"/>
        </w:rPr>
        <w:t xml:space="preserve"> </w:t>
      </w:r>
      <w:r w:rsidR="00A92463" w:rsidRPr="00E510F1">
        <w:rPr>
          <w:sz w:val="24"/>
        </w:rPr>
        <w:t>First Nation</w:t>
      </w:r>
      <w:r w:rsidR="00566C16">
        <w:rPr>
          <w:sz w:val="24"/>
        </w:rPr>
        <w:t xml:space="preserve"> will collect the revenues from those interests </w:t>
      </w:r>
      <w:r w:rsidR="00A92463">
        <w:rPr>
          <w:sz w:val="24"/>
        </w:rPr>
        <w:t xml:space="preserve">effective the date the </w:t>
      </w:r>
      <w:r w:rsidR="0056593D" w:rsidRPr="0056593D">
        <w:rPr>
          <w:i/>
          <w:sz w:val="24"/>
        </w:rPr>
        <w:t>Land Code</w:t>
      </w:r>
      <w:r w:rsidR="00A92463">
        <w:rPr>
          <w:sz w:val="24"/>
        </w:rPr>
        <w:t xml:space="preserve"> comes into force. </w:t>
      </w:r>
    </w:p>
    <w:p w14:paraId="7C55393B" w14:textId="77777777" w:rsidR="00D637EE" w:rsidRDefault="00D637EE">
      <w:pPr>
        <w:rPr>
          <w:sz w:val="24"/>
        </w:rPr>
      </w:pPr>
    </w:p>
    <w:p w14:paraId="6C817D59" w14:textId="77777777" w:rsidR="002D2F73" w:rsidRDefault="00D637EE" w:rsidP="002D2F73">
      <w:pPr>
        <w:pStyle w:val="Heading2"/>
      </w:pPr>
      <w:r>
        <w:t xml:space="preserve">Section 8- </w:t>
      </w:r>
      <w:r w:rsidR="00A92463">
        <w:t xml:space="preserve">Interim Environmental Assessment Process </w:t>
      </w:r>
    </w:p>
    <w:p w14:paraId="3EB2B558" w14:textId="77777777" w:rsidR="00D637EE" w:rsidRDefault="00F641D3" w:rsidP="002D2F73">
      <w:pPr>
        <w:pStyle w:val="Heading2"/>
      </w:pPr>
      <w:r>
        <w:pict w14:anchorId="5EC968FE">
          <v:rect id="_x0000_i1032" style="width:0;height:1.5pt" o:hralign="center" o:hrstd="t" o:hr="t" fillcolor="#a0a0a0" stroked="f"/>
        </w:pict>
      </w:r>
    </w:p>
    <w:p w14:paraId="68E3CE1A" w14:textId="67B0AEE4" w:rsidR="00877F3E" w:rsidRDefault="00BB77ED" w:rsidP="00877F3E">
      <w:pPr>
        <w:rPr>
          <w:sz w:val="24"/>
        </w:rPr>
      </w:pPr>
      <w:r>
        <w:rPr>
          <w:sz w:val="24"/>
        </w:rPr>
        <w:t>U</w:t>
      </w:r>
      <w:r w:rsidR="00877F3E">
        <w:rPr>
          <w:sz w:val="24"/>
        </w:rPr>
        <w:t xml:space="preserve">ntil </w:t>
      </w:r>
      <w:r w:rsidR="006A3A48">
        <w:rPr>
          <w:sz w:val="24"/>
        </w:rPr>
        <w:t>Hiawatha</w:t>
      </w:r>
      <w:r w:rsidRPr="00924C85">
        <w:rPr>
          <w:sz w:val="24"/>
        </w:rPr>
        <w:t xml:space="preserve"> </w:t>
      </w:r>
      <w:r w:rsidR="00877F3E" w:rsidRPr="00E510F1">
        <w:rPr>
          <w:sz w:val="24"/>
        </w:rPr>
        <w:t>First Nation</w:t>
      </w:r>
      <w:r w:rsidR="00877F3E">
        <w:rPr>
          <w:sz w:val="24"/>
        </w:rPr>
        <w:t xml:space="preserve"> establishes its own environmental assessment process, the </w:t>
      </w:r>
      <w:r w:rsidR="00877F3E">
        <w:rPr>
          <w:i/>
          <w:sz w:val="24"/>
        </w:rPr>
        <w:t>Canadian Environmental Assessment Act</w:t>
      </w:r>
      <w:r w:rsidR="00877F3E">
        <w:rPr>
          <w:sz w:val="24"/>
        </w:rPr>
        <w:t xml:space="preserve"> will apply. The procedure for environmental assessments during this period is set out “Annex F”.</w:t>
      </w:r>
    </w:p>
    <w:p w14:paraId="0666B32F" w14:textId="77777777" w:rsidR="00877F3E" w:rsidRDefault="00877F3E">
      <w:pPr>
        <w:rPr>
          <w:sz w:val="24"/>
        </w:rPr>
      </w:pPr>
    </w:p>
    <w:p w14:paraId="2CF4CF98" w14:textId="77777777" w:rsidR="002D2F73" w:rsidRDefault="00D637EE" w:rsidP="002D2F73">
      <w:pPr>
        <w:pStyle w:val="Heading2"/>
      </w:pPr>
      <w:r>
        <w:t>Sections</w:t>
      </w:r>
      <w:r w:rsidR="00877F3E">
        <w:t xml:space="preserve"> 9 and 10</w:t>
      </w:r>
    </w:p>
    <w:p w14:paraId="46CCB291" w14:textId="77777777" w:rsidR="00D637EE" w:rsidRDefault="00F641D3" w:rsidP="002D2F73">
      <w:pPr>
        <w:pStyle w:val="Heading2"/>
      </w:pPr>
      <w:r>
        <w:pict w14:anchorId="6FCDBCD3">
          <v:rect id="_x0000_i1033" style="width:0;height:1.5pt" o:hralign="center" o:hrstd="t" o:hr="t" fillcolor="#a0a0a0" stroked="f"/>
        </w:pict>
      </w:r>
    </w:p>
    <w:p w14:paraId="35EB2EEE" w14:textId="77777777" w:rsidR="00D637EE" w:rsidRDefault="00D637EE">
      <w:pPr>
        <w:rPr>
          <w:sz w:val="24"/>
        </w:rPr>
      </w:pPr>
      <w:r>
        <w:rPr>
          <w:sz w:val="24"/>
        </w:rPr>
        <w:t>These are standard formalities regarding amendment of the agreement, giving of formal notice and documentation.</w:t>
      </w:r>
    </w:p>
    <w:p w14:paraId="1A743A87" w14:textId="77777777" w:rsidR="00D637EE" w:rsidRDefault="00D637EE">
      <w:pPr>
        <w:rPr>
          <w:sz w:val="24"/>
        </w:rPr>
      </w:pPr>
    </w:p>
    <w:p w14:paraId="77F60D41" w14:textId="77777777" w:rsidR="002D2F73" w:rsidRDefault="00D637EE" w:rsidP="002D2F73">
      <w:pPr>
        <w:pStyle w:val="Heading2"/>
      </w:pPr>
      <w:r>
        <w:t>Section 1</w:t>
      </w:r>
      <w:r w:rsidR="00877F3E">
        <w:t>1</w:t>
      </w:r>
      <w:r>
        <w:t>- Dispute Resolution</w:t>
      </w:r>
    </w:p>
    <w:p w14:paraId="35676A01" w14:textId="77777777" w:rsidR="00D637EE" w:rsidRDefault="00F641D3" w:rsidP="002D2F73">
      <w:pPr>
        <w:pStyle w:val="Heading2"/>
      </w:pPr>
      <w:r>
        <w:pict w14:anchorId="42D1E1B7">
          <v:rect id="_x0000_i1034" style="width:0;height:1.5pt" o:hralign="center" o:hrstd="t" o:hr="t" fillcolor="#a0a0a0" stroked="f"/>
        </w:pict>
      </w:r>
    </w:p>
    <w:p w14:paraId="5B5A77B6" w14:textId="27CCC110" w:rsidR="00D637EE" w:rsidRDefault="00BB77ED">
      <w:pPr>
        <w:rPr>
          <w:sz w:val="24"/>
        </w:rPr>
      </w:pPr>
      <w:r>
        <w:rPr>
          <w:sz w:val="24"/>
        </w:rPr>
        <w:t>T</w:t>
      </w:r>
      <w:r w:rsidR="00D637EE">
        <w:rPr>
          <w:sz w:val="24"/>
        </w:rPr>
        <w:t xml:space="preserve">he dispute resolution provisions of the </w:t>
      </w:r>
      <w:r w:rsidR="00D637EE">
        <w:rPr>
          <w:i/>
          <w:sz w:val="24"/>
        </w:rPr>
        <w:t xml:space="preserve">Framework Agreement </w:t>
      </w:r>
      <w:r w:rsidR="00D637EE">
        <w:rPr>
          <w:sz w:val="24"/>
        </w:rPr>
        <w:t xml:space="preserve">apply to any disputes between Canada and </w:t>
      </w:r>
      <w:r w:rsidR="006A3A48">
        <w:rPr>
          <w:sz w:val="24"/>
        </w:rPr>
        <w:t>Hiawatha</w:t>
      </w:r>
      <w:r w:rsidRPr="00924C85">
        <w:rPr>
          <w:sz w:val="24"/>
        </w:rPr>
        <w:t xml:space="preserve"> </w:t>
      </w:r>
      <w:r w:rsidR="00877F3E" w:rsidRPr="00E510F1">
        <w:rPr>
          <w:sz w:val="24"/>
        </w:rPr>
        <w:t>First Nation</w:t>
      </w:r>
      <w:r w:rsidR="00877F3E">
        <w:rPr>
          <w:sz w:val="24"/>
        </w:rPr>
        <w:t xml:space="preserve"> </w:t>
      </w:r>
      <w:r w:rsidR="00D637EE">
        <w:rPr>
          <w:sz w:val="24"/>
        </w:rPr>
        <w:t>regarding the Individual Agreement.</w:t>
      </w:r>
    </w:p>
    <w:p w14:paraId="38AF68AB" w14:textId="77777777" w:rsidR="00D637EE" w:rsidRDefault="00D637EE">
      <w:pPr>
        <w:rPr>
          <w:sz w:val="24"/>
        </w:rPr>
      </w:pPr>
    </w:p>
    <w:p w14:paraId="3C4F4302" w14:textId="77777777" w:rsidR="002D2F73" w:rsidRDefault="00D637EE" w:rsidP="002D2F73">
      <w:pPr>
        <w:pStyle w:val="Heading2"/>
      </w:pPr>
      <w:r>
        <w:t>Section 1</w:t>
      </w:r>
      <w:r w:rsidR="00877F3E">
        <w:t>2</w:t>
      </w:r>
      <w:r>
        <w:t>- Date of Coming into Force</w:t>
      </w:r>
    </w:p>
    <w:p w14:paraId="47CA8A3A" w14:textId="77777777" w:rsidR="00D637EE" w:rsidRDefault="00F641D3" w:rsidP="002D2F73">
      <w:pPr>
        <w:pStyle w:val="Heading2"/>
      </w:pPr>
      <w:r>
        <w:pict w14:anchorId="08CCF516">
          <v:rect id="_x0000_i1035" style="width:0;height:1.5pt" o:hralign="center" o:hrstd="t" o:hr="t" fillcolor="#a0a0a0" stroked="f"/>
        </w:pict>
      </w:r>
    </w:p>
    <w:p w14:paraId="4025BF7E" w14:textId="77777777" w:rsidR="00D637EE" w:rsidRDefault="00BB77ED">
      <w:pPr>
        <w:rPr>
          <w:sz w:val="24"/>
        </w:rPr>
      </w:pPr>
      <w:r>
        <w:rPr>
          <w:sz w:val="24"/>
        </w:rPr>
        <w:t>T</w:t>
      </w:r>
      <w:r w:rsidR="00D637EE">
        <w:rPr>
          <w:sz w:val="24"/>
        </w:rPr>
        <w:t xml:space="preserve">he Individual Agreement comes into force at the same time as the </w:t>
      </w:r>
      <w:r w:rsidR="0056593D" w:rsidRPr="0056593D">
        <w:rPr>
          <w:i/>
          <w:sz w:val="24"/>
        </w:rPr>
        <w:t>Land Code</w:t>
      </w:r>
      <w:r w:rsidR="00D637EE">
        <w:rPr>
          <w:sz w:val="24"/>
        </w:rPr>
        <w:t>.</w:t>
      </w:r>
    </w:p>
    <w:sectPr w:rsidR="00D637EE" w:rsidSect="006B6DAD">
      <w:footerReference w:type="default" r:id="rId8"/>
      <w:pgSz w:w="11906" w:h="16838"/>
      <w:pgMar w:top="993" w:right="1440" w:bottom="1276" w:left="1440" w:header="706" w:footer="35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5DA2" w14:textId="77777777" w:rsidR="00F641D3" w:rsidRDefault="00F641D3">
      <w:r>
        <w:separator/>
      </w:r>
    </w:p>
  </w:endnote>
  <w:endnote w:type="continuationSeparator" w:id="0">
    <w:p w14:paraId="695D33DC" w14:textId="77777777" w:rsidR="00F641D3" w:rsidRDefault="00F6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E175" w14:textId="2368E494" w:rsidR="008B7313" w:rsidRDefault="008B7313">
    <w:pPr>
      <w:pStyle w:val="Footer"/>
      <w:jc w:val="right"/>
    </w:pPr>
    <w:r>
      <w:t xml:space="preserve">Summary - </w:t>
    </w:r>
    <w:r w:rsidR="006A460B">
      <w:t>Hiawatha</w:t>
    </w:r>
    <w:r>
      <w:t xml:space="preserve"> First Nation Individual Agreement</w:t>
    </w:r>
  </w:p>
  <w:p w14:paraId="11774E40" w14:textId="77777777" w:rsidR="0077185D" w:rsidRDefault="007718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39714" w14:textId="77777777" w:rsidR="00F641D3" w:rsidRDefault="00F641D3">
      <w:r>
        <w:separator/>
      </w:r>
    </w:p>
  </w:footnote>
  <w:footnote w:type="continuationSeparator" w:id="0">
    <w:p w14:paraId="7A125B88" w14:textId="77777777" w:rsidR="00F641D3" w:rsidRDefault="00F6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54C"/>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4D7844AB"/>
    <w:multiLevelType w:val="singleLevel"/>
    <w:tmpl w:val="2404F780"/>
    <w:lvl w:ilvl="0">
      <w:start w:val="1"/>
      <w:numFmt w:val="decimal"/>
      <w:lvlText w:val="%1."/>
      <w:lvlJc w:val="left"/>
      <w:pPr>
        <w:tabs>
          <w:tab w:val="num" w:pos="780"/>
        </w:tabs>
        <w:ind w:left="780" w:hanging="780"/>
      </w:pPr>
      <w:rPr>
        <w:rFonts w:hint="default"/>
      </w:rPr>
    </w:lvl>
  </w:abstractNum>
  <w:abstractNum w:abstractNumId="2" w15:restartNumberingAfterBreak="0">
    <w:nsid w:val="5DB11A3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99"/>
    <w:rsid w:val="00076428"/>
    <w:rsid w:val="000813EA"/>
    <w:rsid w:val="00091BFC"/>
    <w:rsid w:val="00137D99"/>
    <w:rsid w:val="00167691"/>
    <w:rsid w:val="001C26FC"/>
    <w:rsid w:val="002776FC"/>
    <w:rsid w:val="002D2F73"/>
    <w:rsid w:val="003E6B3F"/>
    <w:rsid w:val="003F5DCC"/>
    <w:rsid w:val="00406127"/>
    <w:rsid w:val="004208D2"/>
    <w:rsid w:val="0049511B"/>
    <w:rsid w:val="004B1315"/>
    <w:rsid w:val="004B5C79"/>
    <w:rsid w:val="004E219F"/>
    <w:rsid w:val="005420E1"/>
    <w:rsid w:val="00555411"/>
    <w:rsid w:val="0056593D"/>
    <w:rsid w:val="00566C16"/>
    <w:rsid w:val="005901AC"/>
    <w:rsid w:val="00593A45"/>
    <w:rsid w:val="00627DFB"/>
    <w:rsid w:val="00632611"/>
    <w:rsid w:val="006A3A48"/>
    <w:rsid w:val="006A460B"/>
    <w:rsid w:val="006B6DAD"/>
    <w:rsid w:val="006E14DF"/>
    <w:rsid w:val="006E75A1"/>
    <w:rsid w:val="006F3061"/>
    <w:rsid w:val="0077185D"/>
    <w:rsid w:val="007A5BBC"/>
    <w:rsid w:val="007B4451"/>
    <w:rsid w:val="0082741F"/>
    <w:rsid w:val="00877F3E"/>
    <w:rsid w:val="008B7313"/>
    <w:rsid w:val="00905F3B"/>
    <w:rsid w:val="00924C85"/>
    <w:rsid w:val="0092778A"/>
    <w:rsid w:val="00982FC4"/>
    <w:rsid w:val="00986513"/>
    <w:rsid w:val="00996DCC"/>
    <w:rsid w:val="009A4485"/>
    <w:rsid w:val="009C1BEB"/>
    <w:rsid w:val="009D1123"/>
    <w:rsid w:val="009E779C"/>
    <w:rsid w:val="009F6312"/>
    <w:rsid w:val="00A253DD"/>
    <w:rsid w:val="00A92463"/>
    <w:rsid w:val="00AA6324"/>
    <w:rsid w:val="00AB7C92"/>
    <w:rsid w:val="00AC6967"/>
    <w:rsid w:val="00AE6C91"/>
    <w:rsid w:val="00B40A5F"/>
    <w:rsid w:val="00B80415"/>
    <w:rsid w:val="00B82575"/>
    <w:rsid w:val="00BB77ED"/>
    <w:rsid w:val="00BD47F9"/>
    <w:rsid w:val="00C00DCC"/>
    <w:rsid w:val="00C23A39"/>
    <w:rsid w:val="00C33C99"/>
    <w:rsid w:val="00C87CD4"/>
    <w:rsid w:val="00CE3CFF"/>
    <w:rsid w:val="00CE4AFB"/>
    <w:rsid w:val="00D61C44"/>
    <w:rsid w:val="00D637EE"/>
    <w:rsid w:val="00D869E6"/>
    <w:rsid w:val="00D9491A"/>
    <w:rsid w:val="00DD20FD"/>
    <w:rsid w:val="00E168E9"/>
    <w:rsid w:val="00E20FC6"/>
    <w:rsid w:val="00E340F0"/>
    <w:rsid w:val="00E510F1"/>
    <w:rsid w:val="00E96F30"/>
    <w:rsid w:val="00EC189F"/>
    <w:rsid w:val="00F13FEC"/>
    <w:rsid w:val="00F250C2"/>
    <w:rsid w:val="00F60E61"/>
    <w:rsid w:val="00F641D3"/>
    <w:rsid w:val="00F658A5"/>
    <w:rsid w:val="00F95F37"/>
    <w:rsid w:val="00FD20C8"/>
    <w:rsid w:val="00FD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C42BC"/>
  <w15:chartTrackingRefBased/>
  <w15:docId w15:val="{58A24B8D-8FAE-4C34-8BCB-D676D321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24"/>
    </w:rPr>
  </w:style>
  <w:style w:type="paragraph" w:customStyle="1" w:styleId="p17">
    <w:name w:val="p17"/>
    <w:basedOn w:val="Normal"/>
    <w:pPr>
      <w:widowControl w:val="0"/>
      <w:spacing w:line="260" w:lineRule="atLeast"/>
      <w:ind w:left="720" w:hanging="720"/>
    </w:pPr>
    <w:rPr>
      <w:snapToGrid w:val="0"/>
      <w:sz w:val="24"/>
    </w:rPr>
  </w:style>
  <w:style w:type="paragraph" w:customStyle="1" w:styleId="p22">
    <w:name w:val="p22"/>
    <w:basedOn w:val="Normal"/>
    <w:pPr>
      <w:widowControl w:val="0"/>
      <w:tabs>
        <w:tab w:val="left" w:pos="2180"/>
      </w:tabs>
      <w:spacing w:line="240" w:lineRule="atLeast"/>
      <w:ind w:left="720" w:hanging="720"/>
    </w:pPr>
    <w:rPr>
      <w:snapToGrid w:val="0"/>
      <w:sz w:val="24"/>
    </w:rPr>
  </w:style>
  <w:style w:type="paragraph" w:customStyle="1" w:styleId="p18">
    <w:name w:val="p18"/>
    <w:basedOn w:val="Normal"/>
    <w:pPr>
      <w:widowControl w:val="0"/>
      <w:tabs>
        <w:tab w:val="left" w:pos="7920"/>
      </w:tabs>
      <w:spacing w:line="240" w:lineRule="atLeast"/>
      <w:ind w:left="6480"/>
    </w:pPr>
    <w:rPr>
      <w:snapToGrid w:val="0"/>
      <w:sz w:val="24"/>
      <w:lang w:val="en-US"/>
    </w:rPr>
  </w:style>
  <w:style w:type="paragraph" w:customStyle="1" w:styleId="c19">
    <w:name w:val="c19"/>
    <w:basedOn w:val="Normal"/>
    <w:pPr>
      <w:widowControl w:val="0"/>
      <w:spacing w:line="240" w:lineRule="atLeast"/>
      <w:jc w:val="center"/>
    </w:pPr>
    <w:rPr>
      <w:snapToGrid w:val="0"/>
      <w:sz w:val="24"/>
      <w:lang w:val="en-US"/>
    </w:rPr>
  </w:style>
  <w:style w:type="paragraph" w:customStyle="1" w:styleId="c20">
    <w:name w:val="c20"/>
    <w:basedOn w:val="Normal"/>
    <w:pPr>
      <w:widowControl w:val="0"/>
      <w:spacing w:line="240" w:lineRule="atLeast"/>
      <w:jc w:val="center"/>
    </w:pPr>
    <w:rPr>
      <w:snapToGrid w:val="0"/>
      <w:sz w:val="24"/>
      <w:lang w:val="en-US"/>
    </w:rPr>
  </w:style>
  <w:style w:type="paragraph" w:customStyle="1" w:styleId="p24">
    <w:name w:val="p24"/>
    <w:basedOn w:val="Normal"/>
    <w:pPr>
      <w:widowControl w:val="0"/>
      <w:tabs>
        <w:tab w:val="left" w:pos="760"/>
      </w:tabs>
      <w:spacing w:line="260" w:lineRule="atLeast"/>
      <w:ind w:left="720" w:hanging="720"/>
    </w:pPr>
    <w:rPr>
      <w:snapToGrid w:val="0"/>
      <w:sz w:val="24"/>
      <w:lang w:val="en-US"/>
    </w:rPr>
  </w:style>
  <w:style w:type="paragraph" w:customStyle="1" w:styleId="p30">
    <w:name w:val="p30"/>
    <w:basedOn w:val="Normal"/>
    <w:pPr>
      <w:widowControl w:val="0"/>
      <w:tabs>
        <w:tab w:val="left" w:pos="760"/>
      </w:tabs>
      <w:spacing w:line="260" w:lineRule="atLeast"/>
      <w:ind w:left="1440" w:firstLine="720"/>
    </w:pPr>
    <w:rPr>
      <w:snapToGrid w:val="0"/>
      <w:sz w:val="24"/>
      <w:lang w:val="en-US"/>
    </w:rPr>
  </w:style>
  <w:style w:type="paragraph" w:customStyle="1" w:styleId="t34">
    <w:name w:val="t34"/>
    <w:basedOn w:val="Normal"/>
    <w:pPr>
      <w:widowControl w:val="0"/>
      <w:spacing w:line="240" w:lineRule="atLeast"/>
    </w:pPr>
    <w:rPr>
      <w:snapToGrid w:val="0"/>
      <w:sz w:val="24"/>
      <w:lang w:val="en-US"/>
    </w:rPr>
  </w:style>
  <w:style w:type="paragraph" w:customStyle="1" w:styleId="c36">
    <w:name w:val="c36"/>
    <w:basedOn w:val="Normal"/>
    <w:pPr>
      <w:widowControl w:val="0"/>
      <w:spacing w:line="240" w:lineRule="atLeast"/>
      <w:jc w:val="center"/>
    </w:pPr>
    <w:rPr>
      <w:snapToGrid w:val="0"/>
      <w:sz w:val="24"/>
      <w:lang w:val="en-US"/>
    </w:rPr>
  </w:style>
  <w:style w:type="paragraph" w:customStyle="1" w:styleId="p37">
    <w:name w:val="p37"/>
    <w:basedOn w:val="Normal"/>
    <w:pPr>
      <w:widowControl w:val="0"/>
      <w:tabs>
        <w:tab w:val="left" w:pos="720"/>
      </w:tabs>
      <w:spacing w:line="260" w:lineRule="atLeast"/>
    </w:pPr>
    <w:rPr>
      <w:snapToGrid w:val="0"/>
      <w:sz w:val="24"/>
      <w:lang w:val="en-US"/>
    </w:rPr>
  </w:style>
  <w:style w:type="paragraph" w:customStyle="1" w:styleId="t35">
    <w:name w:val="t35"/>
    <w:basedOn w:val="Normal"/>
    <w:pPr>
      <w:widowControl w:val="0"/>
      <w:spacing w:line="240" w:lineRule="atLeast"/>
    </w:pPr>
    <w:rPr>
      <w:snapToGrid w:val="0"/>
      <w:sz w:val="24"/>
      <w:lang w:val="en-US"/>
    </w:rPr>
  </w:style>
  <w:style w:type="paragraph" w:customStyle="1" w:styleId="p38">
    <w:name w:val="p38"/>
    <w:basedOn w:val="Normal"/>
    <w:pPr>
      <w:widowControl w:val="0"/>
      <w:tabs>
        <w:tab w:val="left" w:pos="5100"/>
      </w:tabs>
      <w:spacing w:line="240" w:lineRule="atLeast"/>
      <w:ind w:left="3660"/>
    </w:pPr>
    <w:rPr>
      <w:snapToGrid w:val="0"/>
      <w:sz w:val="24"/>
      <w:lang w:val="en-US"/>
    </w:rPr>
  </w:style>
  <w:style w:type="paragraph" w:customStyle="1" w:styleId="t39">
    <w:name w:val="t39"/>
    <w:basedOn w:val="Normal"/>
    <w:pPr>
      <w:widowControl w:val="0"/>
      <w:spacing w:line="240" w:lineRule="atLeast"/>
    </w:pPr>
    <w:rPr>
      <w:snapToGrid w:val="0"/>
      <w:sz w:val="24"/>
      <w:lang w:val="en-US"/>
    </w:rPr>
  </w:style>
  <w:style w:type="paragraph" w:customStyle="1" w:styleId="p41">
    <w:name w:val="p41"/>
    <w:basedOn w:val="Normal"/>
    <w:pPr>
      <w:widowControl w:val="0"/>
      <w:tabs>
        <w:tab w:val="left" w:pos="2440"/>
      </w:tabs>
      <w:spacing w:line="260" w:lineRule="atLeast"/>
      <w:ind w:left="1440" w:firstLine="2448"/>
    </w:pPr>
    <w:rPr>
      <w:snapToGrid w:val="0"/>
      <w:sz w:val="24"/>
      <w:lang w:val="en-US"/>
    </w:rPr>
  </w:style>
  <w:style w:type="paragraph" w:customStyle="1" w:styleId="p42">
    <w:name w:val="p42"/>
    <w:basedOn w:val="Normal"/>
    <w:pPr>
      <w:widowControl w:val="0"/>
      <w:tabs>
        <w:tab w:val="left" w:pos="5420"/>
      </w:tabs>
      <w:spacing w:line="240" w:lineRule="atLeast"/>
      <w:ind w:left="3980"/>
    </w:pPr>
    <w:rPr>
      <w:snapToGrid w:val="0"/>
      <w:sz w:val="24"/>
      <w:lang w:val="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77185D"/>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DEB3F-7283-4973-B84F-2EA5A942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LHEIDLI T’ENNEH FIRST NATION LAND CODE</vt:lpstr>
    </vt:vector>
  </TitlesOfParts>
  <Company>Krehbiel Consulting</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LHEIDLI T’ENNEH FIRST NATION LAND CODE</dc:title>
  <dc:subject/>
  <dc:creator>Richard Krehbiel</dc:creator>
  <cp:keywords/>
  <cp:lastModifiedBy>Kelly Marsden</cp:lastModifiedBy>
  <cp:revision>9</cp:revision>
  <cp:lastPrinted>2003-03-28T16:46:00Z</cp:lastPrinted>
  <dcterms:created xsi:type="dcterms:W3CDTF">2021-03-11T19:40:00Z</dcterms:created>
  <dcterms:modified xsi:type="dcterms:W3CDTF">2021-03-30T22:39:00Z</dcterms:modified>
</cp:coreProperties>
</file>